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3A45" w14:textId="77777777" w:rsidR="00372988" w:rsidRDefault="00000000">
      <w:pPr>
        <w:pStyle w:val="Title"/>
        <w:rPr>
          <w:u w:val="none"/>
        </w:rPr>
      </w:pPr>
      <w:r>
        <w:t>Who</w:t>
      </w:r>
      <w:r>
        <w:rPr>
          <w:spacing w:val="-3"/>
        </w:rPr>
        <w:t xml:space="preserve"> </w:t>
      </w:r>
      <w:r>
        <w:t>were</w:t>
      </w:r>
      <w:r>
        <w:rPr>
          <w:spacing w:val="-3"/>
        </w:rPr>
        <w:t xml:space="preserve"> </w:t>
      </w:r>
      <w:r>
        <w:t>“the</w:t>
      </w:r>
      <w:r>
        <w:rPr>
          <w:spacing w:val="-3"/>
        </w:rPr>
        <w:t xml:space="preserve"> </w:t>
      </w:r>
      <w:r>
        <w:t>Jews”</w:t>
      </w:r>
      <w:r>
        <w:rPr>
          <w:spacing w:val="-3"/>
        </w:rPr>
        <w:t xml:space="preserve"> </w:t>
      </w:r>
      <w:r>
        <w:t>and</w:t>
      </w:r>
      <w:r>
        <w:rPr>
          <w:spacing w:val="-3"/>
        </w:rPr>
        <w:t xml:space="preserve"> </w:t>
      </w:r>
      <w:r>
        <w:t>“the</w:t>
      </w:r>
      <w:r>
        <w:rPr>
          <w:spacing w:val="-2"/>
        </w:rPr>
        <w:t xml:space="preserve"> </w:t>
      </w:r>
      <w:r>
        <w:t>Gentiles”</w:t>
      </w:r>
      <w:r>
        <w:rPr>
          <w:spacing w:val="-2"/>
        </w:rPr>
        <w:t xml:space="preserve"> </w:t>
      </w:r>
      <w:r>
        <w:t>of</w:t>
      </w:r>
      <w:r>
        <w:rPr>
          <w:spacing w:val="-2"/>
        </w:rPr>
        <w:t xml:space="preserve"> Scripture?</w:t>
      </w:r>
    </w:p>
    <w:p w14:paraId="54674CCC" w14:textId="076D3057" w:rsidR="00372988" w:rsidRDefault="00000000">
      <w:pPr>
        <w:pStyle w:val="BodyText"/>
        <w:spacing w:line="274" w:lineRule="exact"/>
        <w:ind w:left="1032" w:right="992"/>
        <w:jc w:val="center"/>
      </w:pPr>
      <w:r>
        <w:t>Generalizations</w:t>
      </w:r>
      <w:r>
        <w:rPr>
          <w:spacing w:val="-6"/>
        </w:rPr>
        <w:t xml:space="preserve"> </w:t>
      </w:r>
      <w:r>
        <w:t>Lead</w:t>
      </w:r>
      <w:r>
        <w:rPr>
          <w:spacing w:val="-5"/>
        </w:rPr>
        <w:t xml:space="preserve"> </w:t>
      </w:r>
      <w:r>
        <w:t>to</w:t>
      </w:r>
      <w:r>
        <w:rPr>
          <w:spacing w:val="-5"/>
        </w:rPr>
        <w:t xml:space="preserve"> </w:t>
      </w:r>
      <w:r>
        <w:rPr>
          <w:spacing w:val="-2"/>
        </w:rPr>
        <w:t>Polarization</w:t>
      </w:r>
      <w:r w:rsidR="00AD4B7A">
        <w:rPr>
          <w:spacing w:val="-2"/>
        </w:rPr>
        <w:t xml:space="preserve">   Part 2</w:t>
      </w:r>
    </w:p>
    <w:p w14:paraId="19F9FEE2" w14:textId="77777777" w:rsidR="00372988" w:rsidRDefault="00372988">
      <w:pPr>
        <w:pStyle w:val="BodyText"/>
      </w:pPr>
    </w:p>
    <w:p w14:paraId="0D8F861C" w14:textId="77777777" w:rsidR="00AD4B7A" w:rsidRDefault="00000000">
      <w:pPr>
        <w:pStyle w:val="BodyText"/>
        <w:ind w:left="119" w:right="3347"/>
      </w:pPr>
      <w:r>
        <w:t>By</w:t>
      </w:r>
      <w:r>
        <w:rPr>
          <w:spacing w:val="-5"/>
        </w:rPr>
        <w:t xml:space="preserve"> </w:t>
      </w:r>
      <w:r>
        <w:t>Barbara</w:t>
      </w:r>
      <w:r>
        <w:rPr>
          <w:spacing w:val="-5"/>
        </w:rPr>
        <w:t xml:space="preserve"> </w:t>
      </w:r>
      <w:r>
        <w:t>L.</w:t>
      </w:r>
      <w:r>
        <w:rPr>
          <w:spacing w:val="-5"/>
        </w:rPr>
        <w:t xml:space="preserve"> </w:t>
      </w:r>
      <w:r>
        <w:t>Klika,</w:t>
      </w:r>
      <w:r>
        <w:rPr>
          <w:spacing w:val="-5"/>
        </w:rPr>
        <w:t xml:space="preserve"> </w:t>
      </w:r>
      <w:r>
        <w:t>MSW,</w:t>
      </w:r>
      <w:r>
        <w:rPr>
          <w:spacing w:val="-5"/>
        </w:rPr>
        <w:t xml:space="preserve"> </w:t>
      </w:r>
      <w:r>
        <w:t>Personal</w:t>
      </w:r>
      <w:r>
        <w:rPr>
          <w:spacing w:val="-5"/>
        </w:rPr>
        <w:t xml:space="preserve"> </w:t>
      </w:r>
      <w:r>
        <w:t>Life</w:t>
      </w:r>
      <w:r>
        <w:rPr>
          <w:spacing w:val="-5"/>
        </w:rPr>
        <w:t xml:space="preserve"> </w:t>
      </w:r>
      <w:r>
        <w:t xml:space="preserve">Coach For Set Apart Ministries, Inc. </w:t>
      </w:r>
    </w:p>
    <w:p w14:paraId="26B3F699" w14:textId="76F68697" w:rsidR="00372988" w:rsidRDefault="00AD4B7A">
      <w:pPr>
        <w:pStyle w:val="BodyText"/>
        <w:ind w:left="119" w:right="3347"/>
      </w:pPr>
      <w:hyperlink r:id="rId6" w:history="1">
        <w:r w:rsidRPr="002A172B">
          <w:rPr>
            <w:rStyle w:val="Hyperlink"/>
            <w:spacing w:val="-2"/>
          </w:rPr>
          <w:t>www.set</w:t>
        </w:r>
      </w:hyperlink>
      <w:r>
        <w:rPr>
          <w:color w:val="0000FF"/>
          <w:spacing w:val="-2"/>
          <w:u w:val="single" w:color="0000FF"/>
        </w:rPr>
        <w:t>-apart-ministries.org</w:t>
      </w:r>
    </w:p>
    <w:p w14:paraId="610824E5" w14:textId="77777777" w:rsidR="00372988" w:rsidRDefault="00372988">
      <w:pPr>
        <w:pStyle w:val="BodyText"/>
        <w:rPr>
          <w:sz w:val="16"/>
        </w:rPr>
      </w:pPr>
    </w:p>
    <w:p w14:paraId="0C81C571" w14:textId="77777777" w:rsidR="00372988" w:rsidRDefault="00372988">
      <w:pPr>
        <w:pStyle w:val="BodyText"/>
      </w:pPr>
    </w:p>
    <w:p w14:paraId="08A7B907" w14:textId="77777777" w:rsidR="00AD4B7A" w:rsidRDefault="00000000">
      <w:pPr>
        <w:pStyle w:val="BodyText"/>
        <w:ind w:left="119" w:right="69"/>
        <w:rPr>
          <w:spacing w:val="-4"/>
        </w:rPr>
      </w:pPr>
      <w:r>
        <w:t xml:space="preserve">First century Judaism was composed of many different sects, and with Yeshua’s ministry, </w:t>
      </w:r>
      <w:proofErr w:type="gramStart"/>
      <w:r>
        <w:t>death</w:t>
      </w:r>
      <w:proofErr w:type="gramEnd"/>
      <w:r>
        <w:t xml:space="preserve"> and resurrection, the newest was that of the “Nazarenes,” commonly called “The Way.” There were thousands of Jewish people who followed Him including many priests. (Acts 6: 7) There is one example that specifically differentiates between those who accepted Messiah Yeshua and those</w:t>
      </w:r>
      <w:r>
        <w:rPr>
          <w:spacing w:val="-4"/>
        </w:rPr>
        <w:t xml:space="preserve"> </w:t>
      </w:r>
      <w:r>
        <w:t>who</w:t>
      </w:r>
      <w:r>
        <w:rPr>
          <w:spacing w:val="-4"/>
        </w:rPr>
        <w:t xml:space="preserve"> </w:t>
      </w:r>
      <w:r>
        <w:t>did</w:t>
      </w:r>
      <w:r>
        <w:rPr>
          <w:spacing w:val="-4"/>
        </w:rPr>
        <w:t xml:space="preserve"> </w:t>
      </w:r>
      <w:r>
        <w:t>not</w:t>
      </w:r>
      <w:r>
        <w:rPr>
          <w:spacing w:val="-4"/>
        </w:rPr>
        <w:t xml:space="preserve"> </w:t>
      </w:r>
    </w:p>
    <w:p w14:paraId="1DD20081" w14:textId="77777777" w:rsidR="00AD4B7A" w:rsidRDefault="00AD4B7A">
      <w:pPr>
        <w:pStyle w:val="BodyText"/>
        <w:ind w:left="119" w:right="69"/>
        <w:rPr>
          <w:spacing w:val="-4"/>
        </w:rPr>
      </w:pPr>
    </w:p>
    <w:p w14:paraId="290AC555" w14:textId="5C0E9339" w:rsidR="00AD4B7A" w:rsidRPr="00AD4B7A" w:rsidRDefault="00000000">
      <w:pPr>
        <w:pStyle w:val="BodyText"/>
        <w:ind w:left="119" w:right="69"/>
        <w:rPr>
          <w:b/>
          <w:bCs/>
          <w:i/>
          <w:iCs/>
        </w:rPr>
      </w:pPr>
      <w:r w:rsidRPr="00AD4B7A">
        <w:rPr>
          <w:b/>
          <w:bCs/>
          <w:i/>
          <w:iCs/>
        </w:rPr>
        <w:t>“But</w:t>
      </w:r>
      <w:r w:rsidRPr="00AD4B7A">
        <w:rPr>
          <w:b/>
          <w:bCs/>
          <w:i/>
          <w:iCs/>
          <w:spacing w:val="-4"/>
        </w:rPr>
        <w:t xml:space="preserve"> </w:t>
      </w:r>
      <w:r w:rsidRPr="00AD4B7A">
        <w:rPr>
          <w:b/>
          <w:bCs/>
          <w:i/>
          <w:iCs/>
        </w:rPr>
        <w:t>the</w:t>
      </w:r>
      <w:r w:rsidRPr="00AD4B7A">
        <w:rPr>
          <w:b/>
          <w:bCs/>
          <w:i/>
          <w:iCs/>
          <w:spacing w:val="-4"/>
        </w:rPr>
        <w:t xml:space="preserve"> </w:t>
      </w:r>
      <w:r w:rsidRPr="00AD4B7A">
        <w:rPr>
          <w:b/>
          <w:bCs/>
          <w:i/>
          <w:iCs/>
        </w:rPr>
        <w:t>Jews</w:t>
      </w:r>
      <w:r w:rsidRPr="00AD4B7A">
        <w:rPr>
          <w:b/>
          <w:bCs/>
          <w:i/>
          <w:iCs/>
          <w:spacing w:val="-4"/>
        </w:rPr>
        <w:t xml:space="preserve"> </w:t>
      </w:r>
      <w:r w:rsidRPr="00AD4B7A">
        <w:rPr>
          <w:b/>
          <w:bCs/>
          <w:i/>
          <w:iCs/>
        </w:rPr>
        <w:t>who</w:t>
      </w:r>
      <w:r w:rsidRPr="00AD4B7A">
        <w:rPr>
          <w:b/>
          <w:bCs/>
          <w:i/>
          <w:iCs/>
          <w:spacing w:val="-5"/>
        </w:rPr>
        <w:t xml:space="preserve"> </w:t>
      </w:r>
      <w:r w:rsidRPr="00AD4B7A">
        <w:rPr>
          <w:b/>
          <w:bCs/>
          <w:i/>
          <w:iCs/>
        </w:rPr>
        <w:t>were</w:t>
      </w:r>
      <w:r w:rsidRPr="00AD4B7A">
        <w:rPr>
          <w:b/>
          <w:bCs/>
          <w:i/>
          <w:iCs/>
          <w:spacing w:val="-4"/>
        </w:rPr>
        <w:t xml:space="preserve"> </w:t>
      </w:r>
      <w:r w:rsidRPr="00AD4B7A">
        <w:rPr>
          <w:b/>
          <w:bCs/>
          <w:i/>
          <w:iCs/>
        </w:rPr>
        <w:t>not</w:t>
      </w:r>
      <w:r w:rsidRPr="00AD4B7A">
        <w:rPr>
          <w:b/>
          <w:bCs/>
          <w:i/>
          <w:iCs/>
          <w:spacing w:val="-4"/>
        </w:rPr>
        <w:t xml:space="preserve"> </w:t>
      </w:r>
      <w:r w:rsidRPr="00AD4B7A">
        <w:rPr>
          <w:b/>
          <w:bCs/>
          <w:i/>
          <w:iCs/>
        </w:rPr>
        <w:t>persuaded,</w:t>
      </w:r>
      <w:r w:rsidRPr="00AD4B7A">
        <w:rPr>
          <w:b/>
          <w:bCs/>
          <w:i/>
          <w:iCs/>
          <w:spacing w:val="-4"/>
        </w:rPr>
        <w:t xml:space="preserve"> </w:t>
      </w:r>
      <w:r w:rsidRPr="00AD4B7A">
        <w:rPr>
          <w:b/>
          <w:bCs/>
          <w:i/>
          <w:iCs/>
        </w:rPr>
        <w:t>becoming</w:t>
      </w:r>
      <w:r w:rsidRPr="00AD4B7A">
        <w:rPr>
          <w:b/>
          <w:bCs/>
          <w:i/>
          <w:iCs/>
          <w:spacing w:val="-4"/>
        </w:rPr>
        <w:t xml:space="preserve"> </w:t>
      </w:r>
      <w:r w:rsidRPr="00AD4B7A">
        <w:rPr>
          <w:b/>
          <w:bCs/>
          <w:i/>
          <w:iCs/>
        </w:rPr>
        <w:t>envious…” Acts 17:</w:t>
      </w:r>
      <w:r>
        <w:t xml:space="preserve"> </w:t>
      </w:r>
      <w:r w:rsidRPr="00AD4B7A">
        <w:rPr>
          <w:b/>
          <w:bCs/>
          <w:i/>
          <w:iCs/>
        </w:rPr>
        <w:t>5 NKJV</w:t>
      </w:r>
    </w:p>
    <w:p w14:paraId="65788837" w14:textId="77777777" w:rsidR="00AD4B7A" w:rsidRDefault="00AD4B7A">
      <w:pPr>
        <w:pStyle w:val="BodyText"/>
        <w:ind w:left="119" w:right="69"/>
      </w:pPr>
    </w:p>
    <w:p w14:paraId="6980254A" w14:textId="1D411969" w:rsidR="00372988" w:rsidRDefault="00000000">
      <w:pPr>
        <w:pStyle w:val="BodyText"/>
        <w:ind w:left="119" w:right="69"/>
      </w:pPr>
      <w:r>
        <w:t>More often there is no qualifying statement like this. The existence of so many Jewish followers gets lost with the generalization that “the Jews” were responsible for His death.</w:t>
      </w:r>
    </w:p>
    <w:p w14:paraId="74236C49" w14:textId="77777777" w:rsidR="00372988" w:rsidRDefault="00372988">
      <w:pPr>
        <w:pStyle w:val="BodyText"/>
      </w:pPr>
    </w:p>
    <w:p w14:paraId="0DFE15A6" w14:textId="77777777" w:rsidR="00372988" w:rsidRDefault="00000000">
      <w:pPr>
        <w:pStyle w:val="BodyText"/>
        <w:ind w:left="120" w:right="142"/>
      </w:pPr>
      <w:r>
        <w:t xml:space="preserve">Though I believe Paul warned us NOT to go in this direction, sadly, there are many </w:t>
      </w:r>
      <w:proofErr w:type="gramStart"/>
      <w:r>
        <w:t>sub–groups</w:t>
      </w:r>
      <w:proofErr w:type="gramEnd"/>
      <w:r>
        <w:t xml:space="preserve"> under the heading “Christian.”</w:t>
      </w:r>
      <w:r>
        <w:rPr>
          <w:spacing w:val="40"/>
        </w:rPr>
        <w:t xml:space="preserve"> </w:t>
      </w:r>
      <w:r>
        <w:t>(1 Cor. 1: 10-13) Just as it is not</w:t>
      </w:r>
      <w:r>
        <w:rPr>
          <w:spacing w:val="-3"/>
        </w:rPr>
        <w:t xml:space="preserve"> </w:t>
      </w:r>
      <w:r>
        <w:t>possible</w:t>
      </w:r>
      <w:r>
        <w:rPr>
          <w:spacing w:val="-3"/>
        </w:rPr>
        <w:t xml:space="preserve"> </w:t>
      </w:r>
      <w:r>
        <w:t>today</w:t>
      </w:r>
      <w:r>
        <w:rPr>
          <w:spacing w:val="-3"/>
        </w:rPr>
        <w:t xml:space="preserve"> </w:t>
      </w:r>
      <w:r>
        <w:t>to</w:t>
      </w:r>
      <w:r>
        <w:rPr>
          <w:spacing w:val="-3"/>
        </w:rPr>
        <w:t xml:space="preserve"> </w:t>
      </w:r>
      <w:r>
        <w:t>identify</w:t>
      </w:r>
      <w:r>
        <w:rPr>
          <w:spacing w:val="-3"/>
        </w:rPr>
        <w:t xml:space="preserve"> </w:t>
      </w:r>
      <w:r>
        <w:t>someone</w:t>
      </w:r>
      <w:r>
        <w:rPr>
          <w:spacing w:val="-3"/>
        </w:rPr>
        <w:t xml:space="preserve"> </w:t>
      </w:r>
      <w:r>
        <w:t>as</w:t>
      </w:r>
      <w:r>
        <w:rPr>
          <w:spacing w:val="-3"/>
        </w:rPr>
        <w:t xml:space="preserve"> </w:t>
      </w:r>
      <w:r>
        <w:t>a</w:t>
      </w:r>
      <w:r>
        <w:rPr>
          <w:spacing w:val="-4"/>
        </w:rPr>
        <w:t xml:space="preserve"> </w:t>
      </w:r>
      <w:r>
        <w:t>“Christian”</w:t>
      </w:r>
      <w:r>
        <w:rPr>
          <w:spacing w:val="-3"/>
        </w:rPr>
        <w:t xml:space="preserve"> </w:t>
      </w:r>
      <w:r>
        <w:t>and</w:t>
      </w:r>
      <w:r>
        <w:rPr>
          <w:spacing w:val="-3"/>
        </w:rPr>
        <w:t xml:space="preserve"> </w:t>
      </w:r>
      <w:r>
        <w:t>from</w:t>
      </w:r>
      <w:r>
        <w:rPr>
          <w:spacing w:val="-4"/>
        </w:rPr>
        <w:t xml:space="preserve"> </w:t>
      </w:r>
      <w:r>
        <w:t>that</w:t>
      </w:r>
      <w:r>
        <w:rPr>
          <w:spacing w:val="-3"/>
        </w:rPr>
        <w:t xml:space="preserve"> </w:t>
      </w:r>
      <w:r>
        <w:t>label</w:t>
      </w:r>
      <w:r>
        <w:rPr>
          <w:spacing w:val="-3"/>
        </w:rPr>
        <w:t xml:space="preserve"> </w:t>
      </w:r>
      <w:r>
        <w:t>alone, predict</w:t>
      </w:r>
      <w:r>
        <w:rPr>
          <w:spacing w:val="-1"/>
        </w:rPr>
        <w:t xml:space="preserve"> </w:t>
      </w:r>
      <w:r>
        <w:t>everything</w:t>
      </w:r>
      <w:r>
        <w:rPr>
          <w:spacing w:val="-1"/>
        </w:rPr>
        <w:t xml:space="preserve"> </w:t>
      </w:r>
      <w:r>
        <w:t>about</w:t>
      </w:r>
      <w:r>
        <w:rPr>
          <w:spacing w:val="-1"/>
        </w:rPr>
        <w:t xml:space="preserve"> </w:t>
      </w:r>
      <w:r>
        <w:t>their</w:t>
      </w:r>
      <w:r>
        <w:rPr>
          <w:spacing w:val="-2"/>
        </w:rPr>
        <w:t xml:space="preserve"> </w:t>
      </w:r>
      <w:r>
        <w:t>belief,</w:t>
      </w:r>
      <w:r>
        <w:rPr>
          <w:spacing w:val="-1"/>
        </w:rPr>
        <w:t xml:space="preserve"> </w:t>
      </w:r>
      <w:r>
        <w:t>neither</w:t>
      </w:r>
      <w:r>
        <w:rPr>
          <w:spacing w:val="-1"/>
        </w:rPr>
        <w:t xml:space="preserve"> </w:t>
      </w:r>
      <w:r>
        <w:t>is</w:t>
      </w:r>
      <w:r>
        <w:rPr>
          <w:spacing w:val="-1"/>
        </w:rPr>
        <w:t xml:space="preserve"> </w:t>
      </w:r>
      <w:r>
        <w:t>it</w:t>
      </w:r>
      <w:r>
        <w:rPr>
          <w:spacing w:val="-1"/>
        </w:rPr>
        <w:t xml:space="preserve"> </w:t>
      </w:r>
      <w:r>
        <w:t>possible</w:t>
      </w:r>
      <w:r>
        <w:rPr>
          <w:spacing w:val="-1"/>
        </w:rPr>
        <w:t xml:space="preserve"> </w:t>
      </w:r>
      <w:r>
        <w:t>to</w:t>
      </w:r>
      <w:r>
        <w:rPr>
          <w:spacing w:val="-1"/>
        </w:rPr>
        <w:t xml:space="preserve"> </w:t>
      </w:r>
      <w:r>
        <w:t>use</w:t>
      </w:r>
      <w:r>
        <w:rPr>
          <w:spacing w:val="-1"/>
        </w:rPr>
        <w:t xml:space="preserve"> </w:t>
      </w:r>
      <w:r>
        <w:t>this</w:t>
      </w:r>
      <w:r>
        <w:rPr>
          <w:spacing w:val="-1"/>
        </w:rPr>
        <w:t xml:space="preserve"> </w:t>
      </w:r>
      <w:r>
        <w:t>blanket</w:t>
      </w:r>
      <w:r>
        <w:rPr>
          <w:spacing w:val="-1"/>
        </w:rPr>
        <w:t xml:space="preserve"> </w:t>
      </w:r>
      <w:r>
        <w:t>term “the Jews” with accuracy about the first century or today.</w:t>
      </w:r>
    </w:p>
    <w:p w14:paraId="67912EC9" w14:textId="77777777" w:rsidR="00372988" w:rsidRDefault="00372988">
      <w:pPr>
        <w:pStyle w:val="BodyText"/>
      </w:pPr>
    </w:p>
    <w:p w14:paraId="47BCB8AD" w14:textId="77777777" w:rsidR="00372988" w:rsidRDefault="00000000">
      <w:pPr>
        <w:pStyle w:val="BodyText"/>
        <w:ind w:left="120" w:right="142"/>
      </w:pPr>
      <w:r>
        <w:t xml:space="preserve">The Greek phrase, </w:t>
      </w:r>
      <w:r>
        <w:rPr>
          <w:i/>
        </w:rPr>
        <w:t xml:space="preserve">hoi </w:t>
      </w:r>
      <w:proofErr w:type="spellStart"/>
      <w:proofErr w:type="gramStart"/>
      <w:r>
        <w:rPr>
          <w:i/>
        </w:rPr>
        <w:t>Ioudaioi</w:t>
      </w:r>
      <w:proofErr w:type="spellEnd"/>
      <w:r>
        <w:rPr>
          <w:i/>
        </w:rPr>
        <w:t xml:space="preserve"> </w:t>
      </w:r>
      <w:r>
        <w:t>,</w:t>
      </w:r>
      <w:proofErr w:type="gramEnd"/>
      <w:r>
        <w:t xml:space="preserve"> is most commonly translated into English as “the Jews” with nearly 180 uses in the New Testament, mostly in the books of John</w:t>
      </w:r>
      <w:r>
        <w:rPr>
          <w:spacing w:val="-3"/>
        </w:rPr>
        <w:t xml:space="preserve"> </w:t>
      </w:r>
      <w:r>
        <w:t>and</w:t>
      </w:r>
      <w:r>
        <w:rPr>
          <w:spacing w:val="-3"/>
        </w:rPr>
        <w:t xml:space="preserve"> </w:t>
      </w:r>
      <w:r>
        <w:t>Acts.</w:t>
      </w:r>
      <w:r>
        <w:rPr>
          <w:spacing w:val="40"/>
        </w:rPr>
        <w:t xml:space="preserve"> </w:t>
      </w:r>
      <w:r>
        <w:t>It</w:t>
      </w:r>
      <w:r>
        <w:rPr>
          <w:spacing w:val="-3"/>
        </w:rPr>
        <w:t xml:space="preserve"> </w:t>
      </w:r>
      <w:r>
        <w:t>is</w:t>
      </w:r>
      <w:r>
        <w:rPr>
          <w:spacing w:val="-3"/>
        </w:rPr>
        <w:t xml:space="preserve"> </w:t>
      </w:r>
      <w:r>
        <w:t>used</w:t>
      </w:r>
      <w:r>
        <w:rPr>
          <w:spacing w:val="-4"/>
        </w:rPr>
        <w:t xml:space="preserve"> </w:t>
      </w:r>
      <w:r>
        <w:rPr>
          <w:b/>
        </w:rPr>
        <w:t>both</w:t>
      </w:r>
      <w:r>
        <w:rPr>
          <w:b/>
          <w:spacing w:val="-3"/>
        </w:rPr>
        <w:t xml:space="preserve"> </w:t>
      </w:r>
      <w:r>
        <w:t>of</w:t>
      </w:r>
      <w:r>
        <w:rPr>
          <w:spacing w:val="-3"/>
        </w:rPr>
        <w:t xml:space="preserve"> </w:t>
      </w:r>
      <w:r>
        <w:t>those</w:t>
      </w:r>
      <w:r>
        <w:rPr>
          <w:spacing w:val="-3"/>
        </w:rPr>
        <w:t xml:space="preserve"> </w:t>
      </w:r>
      <w:r>
        <w:t>who</w:t>
      </w:r>
      <w:r>
        <w:rPr>
          <w:spacing w:val="-3"/>
        </w:rPr>
        <w:t xml:space="preserve"> </w:t>
      </w:r>
      <w:r>
        <w:t>believed</w:t>
      </w:r>
      <w:r>
        <w:rPr>
          <w:spacing w:val="-3"/>
        </w:rPr>
        <w:t xml:space="preserve"> </w:t>
      </w:r>
      <w:r>
        <w:t>Yeshua</w:t>
      </w:r>
      <w:r>
        <w:rPr>
          <w:spacing w:val="-3"/>
        </w:rPr>
        <w:t xml:space="preserve"> </w:t>
      </w:r>
      <w:r>
        <w:t>to</w:t>
      </w:r>
      <w:r>
        <w:rPr>
          <w:spacing w:val="-3"/>
        </w:rPr>
        <w:t xml:space="preserve"> </w:t>
      </w:r>
      <w:r>
        <w:t>be</w:t>
      </w:r>
      <w:r>
        <w:rPr>
          <w:spacing w:val="-3"/>
        </w:rPr>
        <w:t xml:space="preserve"> </w:t>
      </w:r>
      <w:r>
        <w:t>Messiah</w:t>
      </w:r>
      <w:r>
        <w:rPr>
          <w:spacing w:val="-3"/>
        </w:rPr>
        <w:t xml:space="preserve"> </w:t>
      </w:r>
      <w:r>
        <w:rPr>
          <w:b/>
        </w:rPr>
        <w:t xml:space="preserve">and </w:t>
      </w:r>
      <w:r>
        <w:t>those who rejected Him as Messiah.</w:t>
      </w:r>
    </w:p>
    <w:p w14:paraId="2E058EA7" w14:textId="77777777" w:rsidR="00372988" w:rsidRDefault="00372988">
      <w:pPr>
        <w:pStyle w:val="BodyText"/>
      </w:pPr>
    </w:p>
    <w:p w14:paraId="263E7349" w14:textId="77777777" w:rsidR="00372988" w:rsidRDefault="00000000">
      <w:pPr>
        <w:pStyle w:val="BodyText"/>
        <w:ind w:left="660" w:right="956" w:hanging="6"/>
      </w:pPr>
      <w:r>
        <w:t>More and more, scholars acknowledge that this locution, especially as used in John and Acts, carries a bias that was born of the increasingly heated struggle for credibility between two strains of first century Judaism, the smaller of which accepted Jesus as Messiah and the larger of which did not.</w:t>
      </w:r>
      <w:r>
        <w:rPr>
          <w:spacing w:val="40"/>
        </w:rPr>
        <w:t xml:space="preserve"> </w:t>
      </w:r>
      <w:r>
        <w:t>In spite of the fact that Jesus, his disciples, and almost all the central characters involved with</w:t>
      </w:r>
      <w:r>
        <w:rPr>
          <w:spacing w:val="-3"/>
        </w:rPr>
        <w:t xml:space="preserve"> </w:t>
      </w:r>
      <w:r>
        <w:t>Jesus</w:t>
      </w:r>
      <w:r>
        <w:rPr>
          <w:spacing w:val="-3"/>
        </w:rPr>
        <w:t xml:space="preserve"> </w:t>
      </w:r>
      <w:r>
        <w:t>or</w:t>
      </w:r>
      <w:r>
        <w:rPr>
          <w:spacing w:val="-3"/>
        </w:rPr>
        <w:t xml:space="preserve"> </w:t>
      </w:r>
      <w:r>
        <w:t>in</w:t>
      </w:r>
      <w:r>
        <w:rPr>
          <w:spacing w:val="-3"/>
        </w:rPr>
        <w:t xml:space="preserve"> </w:t>
      </w:r>
      <w:r>
        <w:t>the</w:t>
      </w:r>
      <w:r>
        <w:rPr>
          <w:spacing w:val="-3"/>
        </w:rPr>
        <w:t xml:space="preserve"> </w:t>
      </w:r>
      <w:r>
        <w:t>early</w:t>
      </w:r>
      <w:r>
        <w:rPr>
          <w:spacing w:val="-3"/>
        </w:rPr>
        <w:t xml:space="preserve"> </w:t>
      </w:r>
      <w:r>
        <w:t>NT</w:t>
      </w:r>
      <w:r>
        <w:rPr>
          <w:spacing w:val="-3"/>
        </w:rPr>
        <w:t xml:space="preserve"> </w:t>
      </w:r>
      <w:r>
        <w:t>Jesus</w:t>
      </w:r>
      <w:r>
        <w:rPr>
          <w:spacing w:val="-3"/>
        </w:rPr>
        <w:t xml:space="preserve"> </w:t>
      </w:r>
      <w:r>
        <w:t>movement</w:t>
      </w:r>
      <w:r>
        <w:rPr>
          <w:spacing w:val="-3"/>
        </w:rPr>
        <w:t xml:space="preserve"> </w:t>
      </w:r>
      <w:r>
        <w:t>are</w:t>
      </w:r>
      <w:r>
        <w:rPr>
          <w:spacing w:val="-3"/>
        </w:rPr>
        <w:t xml:space="preserve"> </w:t>
      </w:r>
      <w:r>
        <w:t>Jews</w:t>
      </w:r>
      <w:r>
        <w:rPr>
          <w:spacing w:val="-3"/>
        </w:rPr>
        <w:t xml:space="preserve"> </w:t>
      </w:r>
      <w:r>
        <w:t>(as</w:t>
      </w:r>
      <w:r>
        <w:rPr>
          <w:spacing w:val="-3"/>
        </w:rPr>
        <w:t xml:space="preserve"> </w:t>
      </w:r>
      <w:r>
        <w:t>is</w:t>
      </w:r>
      <w:r>
        <w:rPr>
          <w:spacing w:val="-3"/>
        </w:rPr>
        <w:t xml:space="preserve"> </w:t>
      </w:r>
      <w:r>
        <w:t>clear in such passages as John 4: 9, 18: 15), their opponents are systematically, broadly, and negatively cast as “the Jews.”</w:t>
      </w:r>
      <w:r>
        <w:rPr>
          <w:spacing w:val="40"/>
        </w:rPr>
        <w:t xml:space="preserve"> </w:t>
      </w:r>
      <w:hyperlink w:anchor="_bookmark0" w:history="1">
        <w:r>
          <w:rPr>
            <w:vertAlign w:val="superscript"/>
          </w:rPr>
          <w:t>1</w:t>
        </w:r>
      </w:hyperlink>
    </w:p>
    <w:p w14:paraId="44D99076" w14:textId="77777777" w:rsidR="00372988" w:rsidRDefault="00372988">
      <w:pPr>
        <w:pStyle w:val="BodyText"/>
        <w:spacing w:before="11"/>
        <w:rPr>
          <w:sz w:val="23"/>
        </w:rPr>
      </w:pPr>
    </w:p>
    <w:p w14:paraId="6987C9A5" w14:textId="77777777" w:rsidR="00372988" w:rsidRDefault="00000000">
      <w:pPr>
        <w:pStyle w:val="BodyText"/>
        <w:ind w:left="119" w:right="69"/>
      </w:pPr>
      <w:r>
        <w:t>To paraphrase, Burke goes on to note that the effect of these passages, is to create a polarity, implying that one group of people are wearing the white hats while</w:t>
      </w:r>
      <w:r>
        <w:rPr>
          <w:spacing w:val="-3"/>
        </w:rPr>
        <w:t xml:space="preserve"> </w:t>
      </w:r>
      <w:r>
        <w:t>the</w:t>
      </w:r>
      <w:r>
        <w:rPr>
          <w:spacing w:val="-3"/>
        </w:rPr>
        <w:t xml:space="preserve"> </w:t>
      </w:r>
      <w:r>
        <w:t>other</w:t>
      </w:r>
      <w:r>
        <w:rPr>
          <w:spacing w:val="-3"/>
        </w:rPr>
        <w:t xml:space="preserve"> </w:t>
      </w:r>
      <w:r>
        <w:t>group</w:t>
      </w:r>
      <w:r>
        <w:rPr>
          <w:spacing w:val="-3"/>
        </w:rPr>
        <w:t xml:space="preserve"> </w:t>
      </w:r>
      <w:r>
        <w:t>wears</w:t>
      </w:r>
      <w:r>
        <w:rPr>
          <w:spacing w:val="-3"/>
        </w:rPr>
        <w:t xml:space="preserve"> </w:t>
      </w:r>
      <w:r>
        <w:t>black,</w:t>
      </w:r>
      <w:r>
        <w:rPr>
          <w:spacing w:val="-3"/>
        </w:rPr>
        <w:t xml:space="preserve"> </w:t>
      </w:r>
      <w:r>
        <w:t>despite</w:t>
      </w:r>
      <w:r>
        <w:rPr>
          <w:spacing w:val="-3"/>
        </w:rPr>
        <w:t xml:space="preserve"> </w:t>
      </w:r>
      <w:r>
        <w:t>the</w:t>
      </w:r>
      <w:r>
        <w:rPr>
          <w:spacing w:val="-3"/>
        </w:rPr>
        <w:t xml:space="preserve"> </w:t>
      </w:r>
      <w:r>
        <w:t>truth</w:t>
      </w:r>
      <w:r>
        <w:rPr>
          <w:spacing w:val="-3"/>
        </w:rPr>
        <w:t xml:space="preserve"> </w:t>
      </w:r>
      <w:r>
        <w:t>that</w:t>
      </w:r>
      <w:r>
        <w:rPr>
          <w:spacing w:val="-3"/>
        </w:rPr>
        <w:t xml:space="preserve"> </w:t>
      </w:r>
      <w:r>
        <w:t>then,</w:t>
      </w:r>
      <w:r>
        <w:rPr>
          <w:spacing w:val="-3"/>
        </w:rPr>
        <w:t xml:space="preserve"> </w:t>
      </w:r>
      <w:r>
        <w:t>as</w:t>
      </w:r>
      <w:r>
        <w:rPr>
          <w:spacing w:val="-3"/>
        </w:rPr>
        <w:t xml:space="preserve"> </w:t>
      </w:r>
      <w:r>
        <w:t>now,</w:t>
      </w:r>
      <w:r>
        <w:rPr>
          <w:spacing w:val="-3"/>
        </w:rPr>
        <w:t xml:space="preserve"> </w:t>
      </w:r>
      <w:r>
        <w:t>“the</w:t>
      </w:r>
      <w:r>
        <w:rPr>
          <w:spacing w:val="-3"/>
        </w:rPr>
        <w:t xml:space="preserve"> </w:t>
      </w:r>
      <w:r>
        <w:t>Jews” were not one fully united group acting with one mind and heart.</w:t>
      </w:r>
    </w:p>
    <w:p w14:paraId="194FA36C" w14:textId="77777777" w:rsidR="00372988" w:rsidRDefault="00372988">
      <w:pPr>
        <w:pStyle w:val="BodyText"/>
        <w:rPr>
          <w:sz w:val="20"/>
        </w:rPr>
      </w:pPr>
    </w:p>
    <w:p w14:paraId="65920BB6" w14:textId="77777777" w:rsidR="00AD4B7A" w:rsidRDefault="00AD4B7A" w:rsidP="00AD4B7A">
      <w:pPr>
        <w:pStyle w:val="BodyText"/>
        <w:spacing w:before="77"/>
        <w:ind w:left="120"/>
      </w:pPr>
      <w:r>
        <w:lastRenderedPageBreak/>
        <w:t>To</w:t>
      </w:r>
      <w:r>
        <w:rPr>
          <w:spacing w:val="-3"/>
        </w:rPr>
        <w:t xml:space="preserve"> </w:t>
      </w:r>
      <w:r>
        <w:t>get</w:t>
      </w:r>
      <w:r>
        <w:rPr>
          <w:spacing w:val="-3"/>
        </w:rPr>
        <w:t xml:space="preserve"> </w:t>
      </w:r>
      <w:r>
        <w:t>a</w:t>
      </w:r>
      <w:r>
        <w:rPr>
          <w:spacing w:val="-3"/>
        </w:rPr>
        <w:t xml:space="preserve"> </w:t>
      </w:r>
      <w:r>
        <w:t>broad</w:t>
      </w:r>
      <w:r>
        <w:rPr>
          <w:spacing w:val="-3"/>
        </w:rPr>
        <w:t xml:space="preserve"> </w:t>
      </w:r>
      <w:r>
        <w:t>understanding</w:t>
      </w:r>
      <w:r>
        <w:rPr>
          <w:spacing w:val="-3"/>
        </w:rPr>
        <w:t xml:space="preserve"> </w:t>
      </w:r>
      <w:r>
        <w:t>of</w:t>
      </w:r>
      <w:r>
        <w:rPr>
          <w:spacing w:val="-3"/>
        </w:rPr>
        <w:t xml:space="preserve"> </w:t>
      </w:r>
      <w:r>
        <w:t>the</w:t>
      </w:r>
      <w:r>
        <w:rPr>
          <w:spacing w:val="-3"/>
        </w:rPr>
        <w:t xml:space="preserve"> </w:t>
      </w:r>
      <w:r>
        <w:t>terms</w:t>
      </w:r>
      <w:r>
        <w:rPr>
          <w:spacing w:val="-3"/>
        </w:rPr>
        <w:t xml:space="preserve"> </w:t>
      </w:r>
      <w:r>
        <w:t>“Jews”</w:t>
      </w:r>
      <w:r>
        <w:rPr>
          <w:spacing w:val="-3"/>
        </w:rPr>
        <w:t xml:space="preserve"> </w:t>
      </w:r>
      <w:r>
        <w:t>and</w:t>
      </w:r>
      <w:r>
        <w:rPr>
          <w:spacing w:val="-3"/>
        </w:rPr>
        <w:t xml:space="preserve"> </w:t>
      </w:r>
      <w:r>
        <w:t>“Gentiles”</w:t>
      </w:r>
      <w:r>
        <w:rPr>
          <w:spacing w:val="-3"/>
        </w:rPr>
        <w:t xml:space="preserve"> </w:t>
      </w:r>
      <w:r>
        <w:t>it</w:t>
      </w:r>
      <w:r>
        <w:rPr>
          <w:spacing w:val="-4"/>
        </w:rPr>
        <w:t xml:space="preserve"> </w:t>
      </w:r>
      <w:r>
        <w:t>is</w:t>
      </w:r>
      <w:r>
        <w:rPr>
          <w:spacing w:val="-3"/>
        </w:rPr>
        <w:t xml:space="preserve"> </w:t>
      </w:r>
      <w:r>
        <w:t>important</w:t>
      </w:r>
      <w:r>
        <w:rPr>
          <w:spacing w:val="-3"/>
        </w:rPr>
        <w:t xml:space="preserve"> </w:t>
      </w:r>
      <w:r>
        <w:t>to consider other terms that are used as generalizations or in an idiomatic way.</w:t>
      </w:r>
    </w:p>
    <w:p w14:paraId="2ED83357" w14:textId="77777777" w:rsidR="00AD4B7A" w:rsidRDefault="00AD4B7A" w:rsidP="00AD4B7A">
      <w:pPr>
        <w:pStyle w:val="BodyText"/>
        <w:ind w:left="119"/>
      </w:pPr>
      <w:r>
        <w:t>The</w:t>
      </w:r>
      <w:r>
        <w:rPr>
          <w:spacing w:val="-4"/>
        </w:rPr>
        <w:t xml:space="preserve"> </w:t>
      </w:r>
      <w:r>
        <w:t>other</w:t>
      </w:r>
      <w:r>
        <w:rPr>
          <w:spacing w:val="-4"/>
        </w:rPr>
        <w:t xml:space="preserve"> </w:t>
      </w:r>
      <w:r>
        <w:t>terms</w:t>
      </w:r>
      <w:r>
        <w:rPr>
          <w:spacing w:val="-4"/>
        </w:rPr>
        <w:t xml:space="preserve"> </w:t>
      </w:r>
      <w:proofErr w:type="gramStart"/>
      <w:r>
        <w:t>are:</w:t>
      </w:r>
      <w:proofErr w:type="gramEnd"/>
      <w:r>
        <w:rPr>
          <w:spacing w:val="40"/>
        </w:rPr>
        <w:t xml:space="preserve"> </w:t>
      </w:r>
      <w:r>
        <w:t>nations,</w:t>
      </w:r>
      <w:r>
        <w:rPr>
          <w:spacing w:val="-4"/>
        </w:rPr>
        <w:t xml:space="preserve"> </w:t>
      </w:r>
      <w:r>
        <w:t>sojourn</w:t>
      </w:r>
      <w:r>
        <w:rPr>
          <w:spacing w:val="-4"/>
        </w:rPr>
        <w:t xml:space="preserve"> </w:t>
      </w:r>
      <w:r>
        <w:t>or</w:t>
      </w:r>
      <w:r>
        <w:rPr>
          <w:spacing w:val="-5"/>
        </w:rPr>
        <w:t xml:space="preserve"> </w:t>
      </w:r>
      <w:r>
        <w:t>dwell,</w:t>
      </w:r>
      <w:r>
        <w:rPr>
          <w:spacing w:val="-4"/>
        </w:rPr>
        <w:t xml:space="preserve"> </w:t>
      </w:r>
      <w:r>
        <w:t>circumcision</w:t>
      </w:r>
      <w:r>
        <w:rPr>
          <w:spacing w:val="-4"/>
        </w:rPr>
        <w:t xml:space="preserve"> </w:t>
      </w:r>
      <w:r>
        <w:t>and</w:t>
      </w:r>
      <w:r>
        <w:rPr>
          <w:spacing w:val="-4"/>
        </w:rPr>
        <w:t xml:space="preserve"> </w:t>
      </w:r>
      <w:r>
        <w:t>uncircumcision. The need to identify those who knew what is clean and unclean led to efforts to label people groups in various ways.</w:t>
      </w:r>
    </w:p>
    <w:p w14:paraId="1F3D2FF7" w14:textId="77777777" w:rsidR="00372988" w:rsidRDefault="00000000">
      <w:pPr>
        <w:pStyle w:val="BodyText"/>
        <w:spacing w:before="3"/>
        <w:rPr>
          <w:sz w:val="28"/>
        </w:rPr>
      </w:pPr>
      <w:r>
        <w:pict w14:anchorId="562609B5">
          <v:rect id="docshape2" o:spid="_x0000_s2050" style="position:absolute;margin-left:90pt;margin-top:17.5pt;width:2in;height:.6pt;z-index:-251658752;mso-wrap-distance-left:0;mso-wrap-distance-right:0;mso-position-horizontal-relative:page" fillcolor="black" stroked="f">
            <w10:wrap type="topAndBottom" anchorx="page"/>
          </v:rect>
        </w:pict>
      </w:r>
    </w:p>
    <w:p w14:paraId="0965E662" w14:textId="77777777" w:rsidR="00372988" w:rsidRDefault="00000000">
      <w:pPr>
        <w:spacing w:before="101"/>
        <w:ind w:left="120" w:right="33" w:hanging="1"/>
        <w:rPr>
          <w:sz w:val="20"/>
        </w:rPr>
      </w:pPr>
      <w:bookmarkStart w:id="0" w:name="_bookmark0"/>
      <w:bookmarkEnd w:id="0"/>
      <w:r>
        <w:rPr>
          <w:sz w:val="20"/>
          <w:vertAlign w:val="superscript"/>
        </w:rPr>
        <w:t>1</w:t>
      </w:r>
      <w:r>
        <w:rPr>
          <w:spacing w:val="-3"/>
          <w:sz w:val="20"/>
        </w:rPr>
        <w:t xml:space="preserve"> </w:t>
      </w:r>
      <w:r>
        <w:rPr>
          <w:sz w:val="20"/>
        </w:rPr>
        <w:t>“Translating</w:t>
      </w:r>
      <w:r>
        <w:rPr>
          <w:spacing w:val="-3"/>
          <w:sz w:val="20"/>
        </w:rPr>
        <w:t xml:space="preserve"> </w:t>
      </w:r>
      <w:r>
        <w:rPr>
          <w:sz w:val="20"/>
        </w:rPr>
        <w:t>Hoi</w:t>
      </w:r>
      <w:r>
        <w:rPr>
          <w:spacing w:val="-3"/>
          <w:sz w:val="20"/>
        </w:rPr>
        <w:t xml:space="preserve"> </w:t>
      </w:r>
      <w:proofErr w:type="spellStart"/>
      <w:r>
        <w:rPr>
          <w:sz w:val="20"/>
        </w:rPr>
        <w:t>Ioudaioi</w:t>
      </w:r>
      <w:proofErr w:type="spellEnd"/>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New</w:t>
      </w:r>
      <w:r>
        <w:rPr>
          <w:spacing w:val="-3"/>
          <w:sz w:val="20"/>
        </w:rPr>
        <w:t xml:space="preserve"> </w:t>
      </w:r>
      <w:r>
        <w:rPr>
          <w:sz w:val="20"/>
        </w:rPr>
        <w:t>Testament”,</w:t>
      </w:r>
      <w:r>
        <w:rPr>
          <w:spacing w:val="-3"/>
          <w:sz w:val="20"/>
        </w:rPr>
        <w:t xml:space="preserve"> </w:t>
      </w:r>
      <w:r>
        <w:rPr>
          <w:sz w:val="20"/>
        </w:rPr>
        <w:t>Burke,</w:t>
      </w:r>
      <w:r>
        <w:rPr>
          <w:spacing w:val="-3"/>
          <w:sz w:val="20"/>
        </w:rPr>
        <w:t xml:space="preserve"> </w:t>
      </w:r>
      <w:r>
        <w:rPr>
          <w:sz w:val="20"/>
        </w:rPr>
        <w:t>David</w:t>
      </w:r>
      <w:r>
        <w:rPr>
          <w:spacing w:val="-3"/>
          <w:sz w:val="20"/>
        </w:rPr>
        <w:t xml:space="preserve"> </w:t>
      </w:r>
      <w:r>
        <w:rPr>
          <w:sz w:val="20"/>
        </w:rPr>
        <w:t>G.</w:t>
      </w:r>
      <w:r>
        <w:rPr>
          <w:spacing w:val="-4"/>
          <w:sz w:val="20"/>
        </w:rPr>
        <w:t xml:space="preserve"> </w:t>
      </w:r>
      <w:r>
        <w:rPr>
          <w:sz w:val="20"/>
        </w:rPr>
        <w:t>TIC</w:t>
      </w:r>
      <w:r>
        <w:rPr>
          <w:spacing w:val="-3"/>
          <w:sz w:val="20"/>
        </w:rPr>
        <w:t xml:space="preserve"> </w:t>
      </w:r>
      <w:r>
        <w:rPr>
          <w:sz w:val="20"/>
        </w:rPr>
        <w:t>Talk</w:t>
      </w:r>
      <w:r>
        <w:rPr>
          <w:spacing w:val="-3"/>
          <w:sz w:val="20"/>
        </w:rPr>
        <w:t xml:space="preserve"> </w:t>
      </w:r>
      <w:r>
        <w:rPr>
          <w:sz w:val="20"/>
        </w:rPr>
        <w:t>24,</w:t>
      </w:r>
      <w:r>
        <w:rPr>
          <w:spacing w:val="-3"/>
          <w:sz w:val="20"/>
        </w:rPr>
        <w:t xml:space="preserve"> </w:t>
      </w:r>
      <w:r>
        <w:rPr>
          <w:sz w:val="20"/>
        </w:rPr>
        <w:t>1993,</w:t>
      </w:r>
      <w:r>
        <w:rPr>
          <w:spacing w:val="-3"/>
          <w:sz w:val="20"/>
        </w:rPr>
        <w:t xml:space="preserve"> </w:t>
      </w:r>
      <w:r>
        <w:rPr>
          <w:sz w:val="20"/>
        </w:rPr>
        <w:t>Newsletter of the United Bible Societies Translation Information Clearinghouse.</w:t>
      </w:r>
      <w:r>
        <w:rPr>
          <w:spacing w:val="40"/>
          <w:sz w:val="20"/>
        </w:rPr>
        <w:t xml:space="preserve"> </w:t>
      </w:r>
      <w:r>
        <w:rPr>
          <w:sz w:val="20"/>
        </w:rPr>
        <w:t>Found online 9/23/09.</w:t>
      </w:r>
    </w:p>
    <w:p w14:paraId="2543F44D" w14:textId="77777777" w:rsidR="00372988" w:rsidRDefault="00372988">
      <w:pPr>
        <w:rPr>
          <w:sz w:val="20"/>
        </w:rPr>
        <w:sectPr w:rsidR="00372988">
          <w:footerReference w:type="default" r:id="rId7"/>
          <w:type w:val="continuous"/>
          <w:pgSz w:w="12240" w:h="15840"/>
          <w:pgMar w:top="1360" w:right="1720" w:bottom="900" w:left="1680" w:header="0" w:footer="719" w:gutter="0"/>
          <w:pgNumType w:start="3"/>
          <w:cols w:space="720"/>
        </w:sectPr>
      </w:pPr>
    </w:p>
    <w:p w14:paraId="08E862E1" w14:textId="37364B80" w:rsidR="00372988" w:rsidRDefault="00372988" w:rsidP="00AD4B7A">
      <w:pPr>
        <w:pStyle w:val="BodyText"/>
        <w:spacing w:before="77"/>
        <w:ind w:left="120"/>
      </w:pPr>
    </w:p>
    <w:sectPr w:rsidR="00372988">
      <w:pgSz w:w="12240" w:h="15840"/>
      <w:pgMar w:top="1360" w:right="1720" w:bottom="980" w:left="168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2C7D" w14:textId="77777777" w:rsidR="005F0EF5" w:rsidRDefault="005F0EF5">
      <w:r>
        <w:separator/>
      </w:r>
    </w:p>
  </w:endnote>
  <w:endnote w:type="continuationSeparator" w:id="0">
    <w:p w14:paraId="1EF667C5" w14:textId="77777777" w:rsidR="005F0EF5" w:rsidRDefault="005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750F" w14:textId="77777777" w:rsidR="00372988" w:rsidRDefault="00000000">
    <w:pPr>
      <w:pStyle w:val="BodyText"/>
      <w:spacing w:line="14" w:lineRule="auto"/>
      <w:rPr>
        <w:sz w:val="20"/>
      </w:rPr>
    </w:pPr>
    <w:r>
      <w:pict w14:anchorId="1E24E5AF">
        <v:shapetype id="_x0000_t202" coordsize="21600,21600" o:spt="202" path="m,l,21600r21600,l21600,xe">
          <v:stroke joinstyle="miter"/>
          <v:path gradientshapeok="t" o:connecttype="rect"/>
        </v:shapetype>
        <v:shape id="docshape1" o:spid="_x0000_s1025" type="#_x0000_t202" style="position:absolute;margin-left:512.3pt;margin-top:741.5pt;width:13.7pt;height:15.45pt;z-index:-251658752;mso-position-horizontal-relative:page;mso-position-vertical-relative:page" filled="f" stroked="f">
          <v:textbox inset="0,0,0,0">
            <w:txbxContent>
              <w:p w14:paraId="088C2745" w14:textId="77777777" w:rsidR="00372988"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2B9F" w14:textId="77777777" w:rsidR="005F0EF5" w:rsidRDefault="005F0EF5">
      <w:r>
        <w:separator/>
      </w:r>
    </w:p>
  </w:footnote>
  <w:footnote w:type="continuationSeparator" w:id="0">
    <w:p w14:paraId="1CD8920F" w14:textId="77777777" w:rsidR="005F0EF5" w:rsidRDefault="005F0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2988"/>
    <w:rsid w:val="00372988"/>
    <w:rsid w:val="005F0EF5"/>
    <w:rsid w:val="00A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378CB3"/>
  <w15:docId w15:val="{17A9DB5A-9A52-4BB7-9CA0-BC2E5368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line="384" w:lineRule="exact"/>
      <w:ind w:left="1032" w:right="992"/>
      <w:jc w:val="center"/>
    </w:pPr>
    <w:rPr>
      <w:rFonts w:ascii="Script MT Bold" w:eastAsia="Script MT Bold" w:hAnsi="Script MT Bold" w:cs="Script MT Bold"/>
      <w:b/>
      <w:bCs/>
      <w:i/>
      <w:i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4B7A"/>
    <w:rPr>
      <w:color w:val="0000FF" w:themeColor="hyperlink"/>
      <w:u w:val="single"/>
    </w:rPr>
  </w:style>
  <w:style w:type="character" w:styleId="UnresolvedMention">
    <w:name w:val="Unresolved Mention"/>
    <w:basedOn w:val="DefaultParagraphFont"/>
    <w:uiPriority w:val="99"/>
    <w:semiHidden/>
    <w:unhideWhenUsed/>
    <w:rsid w:val="00AD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were “the Jews” and “the Gentiles”</dc:title>
  <dc:creator>RDK</dc:creator>
  <cp:lastModifiedBy>Barb Klika</cp:lastModifiedBy>
  <cp:revision>2</cp:revision>
  <dcterms:created xsi:type="dcterms:W3CDTF">2023-03-12T21:03:00Z</dcterms:created>
  <dcterms:modified xsi:type="dcterms:W3CDTF">2023-03-12T21:11:00Z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2009-11-05T00:00:00Z</vt:filetime>
  </property>
  <property fmtid="{D5CDD505-2E9C-101B-9397-08002B2CF9AE}" pid="3" name="Creator">
    <vt:lpwstr>Acrobat PDFMaker 8.0 for Word</vt:lpwstr>
  </property>
  <property fmtid="{D5CDD505-2E9C-101B-9397-08002B2CF9AE}" pid="4" name="LastSaved">
    <vt:filetime>2023-03-12T00:00:00Z</vt:filetime>
  </property>
  <property fmtid="{D5CDD505-2E9C-101B-9397-08002B2CF9AE}" pid="5" name="Producer">
    <vt:lpwstr>Acrobat Distiller 8.0.0 (Windows)</vt:lpwstr>
  </property>
</Properties>
</file>